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6 | Session 1   •   Semana 6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6 Session 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safely for general health information in simple English.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de forma segura para información general de salud en inglés sencillo.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symptom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general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trusted source  →  fuente confiable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urgent  →  urgente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a general health topic.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tema general de salud.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Ask for a simple-English explanation.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explicación en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Ask for questions to discuss with a professional.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preguntas para discutir con un profesional.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Check one trusted source.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Verifica una fuente confiable.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Say when AI is not enough.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Di cuándo la IA no es suficiente.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Explain dehydration in simple English and list common signs.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questions could I ask a doctor or nurse?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Find trusted sources about heat safety in Florida.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Explain one safe use and one unsafe use of AI for health topics.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Explica un uso seguro y un uso no seguro de IA para temas de salud.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explain "hydration" in simple English and list 3 signs you need more water.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explique hidratación en inglés sencillo y liste 3 señales de que necesitas más agua.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Ask: "What are 3 questions I should ask a doctor or nurse at my next visit?"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3 preguntas debo hacer a un doctor o enfermera en mi próxima visita?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for "general tips for better sleep" in simple English, then name one source you would check.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consejos generales para dormir mejor en inglés sencillo y nombra una fuente que verificarías.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 what it cannot do for health (e.g., diagnose, replace a doctor). List 2 limits.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 a la IA qué no puede hacer por la salud (p. ej. diagnosticar, reemplazar a un doctor). Lista 2 límites.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for "heat safety in Florida" in simple English and one trusted place to verify the information.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información sobre seguridad ante el calor en Florida en inglés sencillo y un lugar confiable para verificar.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